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6"/>
        <w:jc w:val="right"/>
        <w:rPr>
          <w:rFonts w:ascii="Times New Roman" w:hAnsi="Times New Roman" w:cs="Times New Roman"/>
          <w:b/>
          <w:b/>
          <w:color w:val="0000FF"/>
        </w:rPr>
      </w:pPr>
      <w:r>
        <w:rPr>
          <w:rFonts w:cs="Times New Roman" w:ascii="Times New Roman" w:hAnsi="Times New Roman"/>
          <w:b/>
          <w:color w:val="0000FF"/>
        </w:rPr>
        <w:t>Załącznik 4 do Uchwały Nr 215</w:t>
      </w:r>
    </w:p>
    <w:p>
      <w:pPr>
        <w:pStyle w:val="Normal"/>
        <w:spacing w:lineRule="auto" w:line="240" w:before="0" w:after="0"/>
        <w:ind w:left="5664" w:firstLine="6"/>
        <w:jc w:val="right"/>
        <w:rPr>
          <w:rFonts w:ascii="Times New Roman" w:hAnsi="Times New Roman" w:cs="Times New Roman"/>
          <w:b/>
          <w:b/>
          <w:color w:val="0000FF"/>
        </w:rPr>
      </w:pPr>
      <w:r>
        <w:rPr>
          <w:rFonts w:cs="Times New Roman" w:ascii="Times New Roman" w:hAnsi="Times New Roman"/>
          <w:b/>
          <w:color w:val="0000FF"/>
        </w:rPr>
        <w:t>z dnia 27 października 2017 roku</w:t>
      </w:r>
    </w:p>
    <w:p>
      <w:pPr>
        <w:pStyle w:val="Normal"/>
        <w:spacing w:lineRule="auto" w:line="240" w:before="0" w:after="0"/>
        <w:ind w:left="5664" w:firstLine="6"/>
        <w:jc w:val="right"/>
        <w:rPr>
          <w:rFonts w:ascii="Times New Roman" w:hAnsi="Times New Roman" w:cs="Times New Roman"/>
          <w:b/>
          <w:b/>
          <w:color w:val="0000FF"/>
        </w:rPr>
      </w:pPr>
      <w:r>
        <w:rPr>
          <w:rFonts w:cs="Times New Roman" w:ascii="Times New Roman" w:hAnsi="Times New Roman"/>
          <w:b/>
          <w:color w:val="0000FF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Efekty kształcenia dla kierunku</w:t>
      </w:r>
      <w:r>
        <w:rPr>
          <w:rFonts w:cs="Times New Roman" w:ascii="Times New Roman" w:hAnsi="Times New Roman"/>
          <w:b/>
          <w:sz w:val="26"/>
          <w:szCs w:val="26"/>
        </w:rPr>
        <w:t xml:space="preserve"> Dietetyka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contextualSpacing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Umiejscowienie kierunku w obszarze kształcenia: </w:t>
      </w:r>
      <w:r>
        <w:rPr>
          <w:rFonts w:ascii="Times New Roman" w:hAnsi="Times New Roman"/>
          <w:sz w:val="26"/>
          <w:szCs w:val="26"/>
        </w:rPr>
        <w:t>kierunek należy do obszaru kształcenia w zakresie nauk medycznych i nauk o zdrowiu oraz nauk o kulturze fizycznej.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contextualSpacing/>
        <w:jc w:val="both"/>
        <w:rPr>
          <w:rFonts w:ascii="Times New Roman" w:hAnsi="Times New Roman"/>
          <w:b/>
          <w:b/>
          <w:i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dziedzin/y nauki i dyscyplin/y naukowej/ych lub dziedzin/y sztuki i dyscyplin/y artystycznej/ych:</w:t>
      </w:r>
      <w:r>
        <w:rPr>
          <w:rFonts w:ascii="Times New Roman" w:hAnsi="Times New Roman"/>
          <w:sz w:val="26"/>
          <w:szCs w:val="26"/>
        </w:rPr>
        <w:t xml:space="preserve"> kierunek przyporządkowano do obszaru wiedzy w zakresie nauk medycznych i nauk </w:t>
        <w:br/>
        <w:t>o zdrowiu oraz nauk o kulturze fizycznej, dziedziny nauk o zdrowiu.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r>
        <w:rPr>
          <w:rFonts w:ascii="Times New Roman" w:hAnsi="Times New Roman"/>
          <w:sz w:val="26"/>
          <w:szCs w:val="26"/>
        </w:rPr>
        <w:t>praktyczny.</w:t>
      </w:r>
    </w:p>
    <w:p>
      <w:pPr>
        <w:pStyle w:val="ListParagraph"/>
        <w:numPr>
          <w:ilvl w:val="0"/>
          <w:numId w:val="6"/>
        </w:numPr>
        <w:spacing w:before="0" w:after="0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Poziom kształcenia i czas trwania studiów/liczba punktów ECTS: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studia pierwszego stopnia –licencjackie (6 semestrów)/180 ECTS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ind w:left="284" w:right="0" w:hanging="284"/>
        <w:contextualSpacing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Numer charakterystyki poziomu Polskiej Ramy Kwalifikacji: </w:t>
      </w:r>
      <w:r>
        <w:rPr>
          <w:rFonts w:ascii="Times New Roman" w:hAnsi="Times New Roman"/>
          <w:sz w:val="26"/>
          <w:szCs w:val="26"/>
        </w:rPr>
        <w:t>6.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ind w:left="284" w:right="0" w:hanging="284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Praktyka: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6.1.</w:t>
        <w:tab/>
        <w:t>Wstępna praktyka po I roku w szpitalu/cateringu świadczącym usługi w zakresie przygotowywania i dostarczania posiłków dla pacjentów szpitala: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105 godz./3 ECTS,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praktyka wakacyjna po I roku studiów,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kształcenia–</w:t>
      </w:r>
      <w:r>
        <w:rPr>
          <w:rFonts w:cs="Times New Roman" w:ascii="Times New Roman" w:hAnsi="Times New Roman"/>
          <w:sz w:val="26"/>
          <w:szCs w:val="26"/>
        </w:rPr>
        <w:t xml:space="preserve"> zapoznanie z organizacją pracy i żywienia </w:t>
        <w:br/>
        <w:t xml:space="preserve">w szpitalu, rodzajami usług cateringowych w zakresie przygotowywania </w:t>
        <w:br/>
        <w:t>i dostarczania posiłków dla pacjentów szpitali, profilem pacjentów, rodzajami stosowanych diet.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w domu opieki społecznej: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70 godz. /2 ECTS,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praktyka wakacyjna po I roku studiów,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bCs/>
          <w:sz w:val="26"/>
          <w:szCs w:val="26"/>
        </w:rPr>
        <w:t xml:space="preserve">zapoznanie z organizacją pracy i żywienia </w:t>
        <w:br/>
        <w:t xml:space="preserve">w Domu Opieki Społecznej, profilem pacjentów, rodzajami stosowanych diet.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w poradni dietetycznej i dziale żywienia w szpitalu po II roku: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140 godz. /4 ECTS,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praktyka wakacyjna po II roku studiów,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cele i treści kształcenia – zapoznanie z organizacją żywienia w szpitalu, </w:t>
      </w:r>
      <w:r>
        <w:rPr>
          <w:rFonts w:cs="Times New Roman" w:ascii="Times New Roman" w:hAnsi="Times New Roman"/>
          <w:sz w:val="26"/>
          <w:szCs w:val="26"/>
        </w:rPr>
        <w:t xml:space="preserve">rodzajami usług cateringowych w zakresie przygotowywania i dostarczania posiłków dla pacjentów, </w:t>
      </w:r>
      <w:r>
        <w:rPr>
          <w:rFonts w:cs="Times New Roman" w:ascii="Times New Roman" w:hAnsi="Times New Roman"/>
          <w:bCs/>
          <w:sz w:val="26"/>
          <w:szCs w:val="26"/>
        </w:rPr>
        <w:t xml:space="preserve">zaznajomienie się z rodzajami stosowanych diet </w:t>
      </w:r>
      <w:r>
        <w:rPr>
          <w:rFonts w:cs="Times New Roman" w:ascii="Times New Roman" w:hAnsi="Times New Roman"/>
          <w:sz w:val="26"/>
          <w:szCs w:val="26"/>
        </w:rPr>
        <w:t>oraz z profilem pacjentów w poradni dietetycznej i stosowanym poradnictwem.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w szpitalu dla dorosłych/cateringu świadczącym usługi w zakresie przygotowywania i dostarczania posiłków dla pacjentów szpitala: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105 godz. /3 ECTS,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praktyka wakacyjna po II roku studiów,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 – zdobycie wiedzy na temat organizacji żywienia</w:t>
      </w:r>
      <w:r>
        <w:rPr>
          <w:rFonts w:cs="Times New Roman" w:ascii="Times New Roman" w:hAnsi="Times New Roman"/>
          <w:sz w:val="26"/>
          <w:szCs w:val="26"/>
        </w:rPr>
        <w:t xml:space="preserve"> w szpitalu, rodzajami usług cateringowych w zakresie przygotowywania </w:t>
        <w:br/>
        <w:t xml:space="preserve">i dostarczania posiłków dla pacjentów, nabycie umiejętności ewidencji artykułów spożywczych oraz kalkulacji kosztów pośrednich dotyczących posiłków, nabycie umiejętności przeprowadzania kontroli w zakresie przygotowywania i wydawania posiłków, nabycie umiejętności planowania dietoterapii i prawidłowego doboru produktów w podstawowych dietach leczniczych oraz opracowywania zaleceń żywieniowych dla pacjenta.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w szpitalu dziecięcym, żłobku, przedszkolu: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425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85 godz. /3 ECTS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425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III rok studiów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 – zdobycie wiedzy na temat organizacji</w:t>
      </w:r>
      <w:r>
        <w:rPr>
          <w:rFonts w:cs="Times New Roman" w:ascii="Times New Roman" w:hAnsi="Times New Roman"/>
          <w:sz w:val="26"/>
          <w:szCs w:val="26"/>
        </w:rPr>
        <w:t xml:space="preserve"> żywienia w szpitalu, nabycie umiejętności ewidencji artykułów spożywczych oraz kalkulacji kosztów pośrednich dotyczących posiłków, nabycie umiejętności przeprowadzania kontroli w zakresie przygotowywania i wydawania posiłków, nabycie umiejętności planowania dietoterapii i prawidłowego doboru produktów w podstawowych dietach leczniczych oraz opracowywania zaleceń żywieniowych dla pacjenta – dziecka.</w:t>
      </w:r>
    </w:p>
    <w:p>
      <w:pPr>
        <w:pStyle w:val="Normal"/>
        <w:numPr>
          <w:ilvl w:val="1"/>
          <w:numId w:val="3"/>
        </w:numPr>
        <w:tabs>
          <w:tab w:val="left" w:pos="709" w:leader="none"/>
        </w:tabs>
        <w:spacing w:lineRule="auto" w:line="240" w:before="0" w:after="0"/>
        <w:ind w:left="360" w:hanging="76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z technologii potraw: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134" w:hanging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105 godz. /3 ECTS,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134" w:hanging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III rok studiów,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 – poznanie struktury organizacyjnej i zasad f</w:t>
      </w:r>
      <w:r>
        <w:rPr>
          <w:rFonts w:cs="Times New Roman" w:ascii="Times New Roman" w:hAnsi="Times New Roman"/>
          <w:sz w:val="26"/>
          <w:szCs w:val="26"/>
        </w:rPr>
        <w:t xml:space="preserve">unkcjonowania kuchni własnej obiektu oraz firmy cateringowej, poznanie zasobów technicznych kuchni oraz procesów technologicznych sporządzania potraw dietetycznych, nabycie umiejętności przeprowadzania wybranych operacji jednostkowych stosowanych w produkcji potraw dietetycznych, nabycie umiejętności komunikacji i pracy w zespole, kształtowanie świadomości odpowiedzialności producenta potraw za zdrowie konsumentów. </w:t>
      </w:r>
    </w:p>
    <w:p>
      <w:pPr>
        <w:pStyle w:val="Normal"/>
        <w:numPr>
          <w:ilvl w:val="1"/>
          <w:numId w:val="3"/>
        </w:numPr>
        <w:tabs>
          <w:tab w:val="left" w:pos="851" w:leader="none"/>
        </w:tabs>
        <w:spacing w:lineRule="auto" w:line="240" w:before="0"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w poradniach gastroenterologicznych i w poradniach chorób metabolicznych: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134" w:hanging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wymiar praktyki – 100 godz. /3 ECTS,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134" w:hanging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okres realizacji – III rok studiów,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134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cele i treści kształcenia</w:t>
      </w:r>
      <w:r>
        <w:rPr>
          <w:rFonts w:cs="Times New Roman" w:ascii="Times New Roman" w:hAnsi="Times New Roman"/>
          <w:sz w:val="26"/>
          <w:szCs w:val="26"/>
        </w:rPr>
        <w:t xml:space="preserve"> – nabycie umiejętności planowania dietoterapii i prawidłowego doboru produktów w dietach leczniczych oraz opracowywania zaleceń żywieniowych dla pacjenta z chorobami metabolicznymi oraz chorobami układu pokarmowego. 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ind w:left="284" w:right="0" w:hanging="284"/>
        <w:contextualSpacing/>
        <w:jc w:val="both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Absolwent: </w:t>
      </w:r>
      <w:r>
        <w:rPr>
          <w:rFonts w:ascii="Times New Roman" w:hAnsi="Times New Roman"/>
          <w:sz w:val="26"/>
          <w:szCs w:val="26"/>
        </w:rPr>
        <w:t>posiada wiedzę z zakresu żywienia człowieka zdrowego i chorego oraz technologii  przygotowywania potraw.  Jest  przygotowany  do planowania racjonalnego żywienia  dla  różnych  grup  ludności,  planowania  i  przygotowywania  potraw wchodzących w skład poszczególnych diet zgodnie z obowiązującą klasyfikacją, oceny stanu odżywienia,  sposobu  żywienia  i  rozpoznania  niedożywienia,  zapobiegania  chorobom żywieniowo – zależnym, oceny wzajemnego wpływu  farmakoterapii i żywienia, kontrolowania jakości  produktów  żywnościowych  i warunków  ich  przechowywania  oraz  produkcji  potraw zgodnie  z  zasadami  systemu  Analizy  Zagrożeń  i  Krytycznych  Punktów  Kontroli  (Hazard Analyzes  Critical  Control  Points  –  HACCP),  oceny  wpływu  choroby  na  stan  odżywienia  i wpływu żywienia  na  wyniki  leczenia  chorób,  organizowania  żywienia  indywidualnego, zbiorowego  oraz  leczniczego  dostosowanego  do  wieku  i  stanów fizjologicznych i stanu zdrowia pacjentów  oraz prowadzenia  edukacji  żywieniowej. Absolwent  jest przygotowany do pracy w publicznych i niepublicznych  zakładach  opieki  zdrowotnej,  zakładach  żywienia  zbiorowego i zakładach dostarczających  pożywienie  do  szpitali  i  innych  placówek  zbiorowego żywienia  (catering). Zna język obcy na poziomie biegłości B2 Europejskiego Systemu Opisu Kształcenia Językowego oraz posiada umiejętność posługiwania się językiem w stopniu umożliwiającym korzystanie z piśmiennictwa zawodowego i podstawową komunikację.  Absolwent posiada predyspozycje psychofizyczne  do  pracy  z  ludźmi  zdrowymi  i chorymi.  Posiada ponadtoprzygotowanie ogólne i zawodowe obowiązujące w ochronie zdrowia. Jest przygotowany do podjęcia studiów drugiego stopnia.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ind w:left="284" w:right="0" w:hanging="284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Wymagania ogólne: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 uzyskania kwalifikacji pierwszego stopnia wymagane jest osiągnięcie wszystkich powyższych efektów kształcenia.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4866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9"/>
        <w:gridCol w:w="5954"/>
        <w:gridCol w:w="2257"/>
        <w:gridCol w:w="4215"/>
      </w:tblGrid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Kod składnika opisu w obszarze kształcenia w zakresie nauk medycznych i nauk o zdrowiu oraz nauk o kulturze fizycznej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Opis charakterystyk drugiego stopnia PRK dla danego obszaru kształcenia w ramach szkolnictwa wyższego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Symbol efektu kierunkowego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ind w:left="48" w:hanging="48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Treść efektu kierunkowego</w:t>
            </w:r>
          </w:p>
        </w:tc>
      </w:tr>
      <w:tr>
        <w:trPr>
          <w:trHeight w:val="363" w:hRule="atLeast"/>
        </w:trPr>
        <w:tc>
          <w:tcPr>
            <w:tcW w:w="14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WIEDZA: absolwent zna i rozumie</w:t>
            </w:r>
          </w:p>
        </w:tc>
      </w:tr>
      <w:tr>
        <w:trPr>
          <w:trHeight w:val="897" w:hRule="atLeast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MP_P6S_WG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fizykochemiczne i biologiczne podstawy nauk o zdrowiu oraz nauk o kulturze fizycznej w zakresie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definiuje podstawowe pojęcia z zakresu zdrowia w wymiarze społecznym</w:t>
            </w:r>
          </w:p>
        </w:tc>
      </w:tr>
      <w:tr>
        <w:trPr>
          <w:trHeight w:val="124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MP_P6S_WG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budowę i funkcje organizmu człowieka, a także metody oceny stanu zdrowia oraz objawy i przyczyny wybranych zaburzeń i zmian chorobowych w zakresie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opisuje biochemiczne i fizjologiczne mechanizmy funkcjonowania zdrowego i chorego organizmu człowieka</w:t>
            </w:r>
          </w:p>
        </w:tc>
      </w:tr>
      <w:tr>
        <w:trPr>
          <w:trHeight w:val="2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zna podstawowe procesy metaboliczne na poziomie komórkowym, narządowym, układowym, w tym mechanizmy i efekty regulacji  hormonalnych, rozrodczych i procesów starzenia się organizmu oraz ich związek z chorobami  </w:t>
            </w:r>
          </w:p>
        </w:tc>
      </w:tr>
      <w:tr>
        <w:trPr>
          <w:trHeight w:val="2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podstawy fizjologii przewodu pokarmowego i trawienia, w szczególności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enzymy biorące udział w trawieniu, rolę żółci, przebieg wchłaniania produktów trawienia oraz zaburzenia z nimi związane </w:t>
              <w:br/>
              <w:t>a także wybrane profile metaboliczne podstawowych narządów i układów</w:t>
            </w:r>
          </w:p>
        </w:tc>
      </w:tr>
      <w:tr>
        <w:trPr>
          <w:trHeight w:val="131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opisuje budowę mikroskopową oraz właściwości i funkcje komórek, tkanek i narządów człowieka</w:t>
            </w:r>
          </w:p>
        </w:tc>
      </w:tr>
      <w:tr>
        <w:trPr>
          <w:trHeight w:val="918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charakteryzuje choroby genetyczne </w:t>
              <w:br/>
              <w:t>i wyjaśnia podstawowe pojęcia genetyczne</w:t>
            </w:r>
          </w:p>
        </w:tc>
      </w:tr>
      <w:tr>
        <w:trPr>
          <w:trHeight w:val="63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KP6_WG7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podstawowe badania laboratoryjne i ich interpretacje</w:t>
            </w:r>
          </w:p>
        </w:tc>
      </w:tr>
      <w:tr>
        <w:trPr>
          <w:trHeight w:val="17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 stopniu zaawansowanym wybrane pojęcia i mechanizmy psychospołeczne związane ze zdrowiem i jego ochroną, w zakresie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wskazuje metody oceny zaburzeń strukturalnych i funkcjonalnych wywołanych chorobą oraz podstawowe reakcje człowieka na chorobę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wybrane testy i metody oceny stanu odżywienia organizmu człowieka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charakteryzuje zmiany patologiczne w różnych schorzeniach oraz zaburzeniach strukturalnych wywołanych chorobą, urazem lub inną formą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główne problemy zdrowotne w zakresie chorób zakaźnych i nie zakaźnych o znaczeniu społecznym</w:t>
            </w:r>
          </w:p>
        </w:tc>
      </w:tr>
      <w:tr>
        <w:trPr>
          <w:trHeight w:val="131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i rozumie rolę psychologii w sytuacji choroby, kalectwa oraz problemach ze zdrowiem psychicznym</w:t>
            </w:r>
          </w:p>
        </w:tc>
      </w:tr>
      <w:tr>
        <w:trPr/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teoretyczne podstawy działań interwencyjnych wobec jednostek oraz grup społecznych, a także zasady promocji zdrowia i zdrowego trybu życia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zasady udzielania medycznej pomocy przedlekarskiej</w:t>
            </w:r>
          </w:p>
        </w:tc>
      </w:tr>
      <w:tr>
        <w:trPr/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FF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wskazuje i objaśnia podstawy edukacji zdrowotnej, promocji zdrowia, profilaktyki i edukacji żywieniowej</w:t>
            </w:r>
          </w:p>
        </w:tc>
      </w:tr>
      <w:tr>
        <w:trPr/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FF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opisuje aktualne zagrożenia dla życia człowieka ze strony zanieczyszczonego środowiska między innymi pasożytami</w:t>
            </w:r>
          </w:p>
        </w:tc>
      </w:tr>
      <w:tr>
        <w:trPr>
          <w:trHeight w:val="212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mechanizm działania i skutki uboczne zabiegów fizycznych i aktywności ruchowej związanych z zawodem właściwym dla kierunku studiów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zna zasady racjonalnego żywienia oraz konsekwencje zdrowotne nieprawidłowego odżywiania,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w szczególności stosowania niezbilansowanej diety, długotrwałego głodowania czy objadania się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KP6_WK10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zna choroby związane z nieprawidłową dietą w tym związane z zaburzeniami gospodarki wodno – elektrolitowej, kwasowo – zasadowej, lipidowej, węglowodanowej </w:t>
              <w:br/>
              <w:t xml:space="preserve">i białkowej, fizjologii wysiłku fizycznego oraz będące skutkami ubocznymi działań </w:t>
              <w:br/>
              <w:t xml:space="preserve">i zabiegów medycznych i niemedycznych  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zna zasady żywienia dzieci zdrowych </w:t>
              <w:br/>
              <w:t>i chorych w różnym wieku, w szczególności dzieci z alergiami pokarmowymi i zespołami metabolicznymi oraz zasady żywienia kobiet w okresie ciąży i w okresie karmienia piersią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podstawowe odmienności w żywieniu pacjentów onkologicznych i osób wyniszczonych nowotworowo oraz pacjentów geriatrycznych</w:t>
            </w:r>
          </w:p>
        </w:tc>
      </w:tr>
      <w:tr>
        <w:trPr>
          <w:trHeight w:val="171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mechanizmy działania leków, efekty niepożądane, toksyczne, a także interakcje leków z żywnością, które mogą pojawić się w trakcie farmakoterapii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posiada wiedzę na temat ostrych </w:t>
              <w:br/>
              <w:t>i przewlekłych chorób chirurgicznych dietozależnych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charakteryzuje żywność jako źródło składników pokarmowych w zaspokajaniu potrzeb organizmu człowieka w zdrowiu i chorobie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objaśnia wpływ procesów technologicznych i przechowywania na zachowanie składników odżywczych, jakość i bezpieczeństwo żywności i żywienia oraz zdrowie publiczne</w:t>
            </w:r>
          </w:p>
        </w:tc>
      </w:tr>
      <w:tr>
        <w:trPr>
          <w:trHeight w:val="86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metody oceny żywienia na poziomie indywidualnym i populacyjnym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rolę i znaczenie żywienia oraz energii i składników pokarmowych dla funkcjonowania organizmu człowieka i jego zdrowia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KP6_WK19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MyriadPro-Regular" w:cs="Times New Roman" w:ascii="Times New Roman" w:hAnsi="Times New Roman"/>
                <w:sz w:val="26"/>
                <w:szCs w:val="26"/>
              </w:rPr>
              <w:t>objaśnia wpływ składników pokarmowych i żywienia w rozwoju chorób dietozależnych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KP6_WK20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zasady żywienia osób chorych oraz rolę energii i składników pokarmowych w dietoterapii</w:t>
            </w:r>
          </w:p>
        </w:tc>
      </w:tr>
      <w:tr>
        <w:trPr>
          <w:trHeight w:val="15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prawne, organizacyjne i etyczne uwarunkowania wykonywania działalności zawodowej związanej z programem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prawne, organizacyjne i technologiczne zasady zbiorowego żywienia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prawne, organizacyjne, ekonomiczne i etyczne uwarunkowania w poradnictwie dietetycznym i ochronie zdrowia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i rozumie podstawowe pojęcia i zasady z zakresu ochrony własności przemysłowej i prawa autorskiego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i rozumie podstawowe pojęcia i zasady z zakresu cateringu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miejsce zawodu związanego z kierunkiem studiów w systemie organizacji ochrony zdrowia na poziomie krajowym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zna polskie i europejskie ustawodawstwo dotyczące żywności i żywienia oraz znaczenia bezpieczeństwa żywności </w:t>
              <w:br/>
              <w:t>i żywienia dla zdrowia publicznego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MP_P6S_WK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ogólne zasady tworzenia i rozwoju form indywidualnej przedsiębiorczości w obszarze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KP6_WK26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zna ogólne zasady tworzenia i rozwoju form indywidualnej przedsiębiorczości</w:t>
            </w:r>
          </w:p>
        </w:tc>
      </w:tr>
      <w:tr>
        <w:trPr/>
        <w:tc>
          <w:tcPr>
            <w:tcW w:w="14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UMIEJĘTNOŚCI: absolwent potrafi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posługiwać się sprzętem i aparaturą stosowanymi w zakresie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potrafi wykorzystywać i obsługiwać aparaturę i sprzęt do badań funkcjonalnych i laboratoryjnych oraz w ocenie żywienia </w:t>
              <w:br/>
              <w:t>i stanu odżywienia</w:t>
            </w:r>
          </w:p>
        </w:tc>
      </w:tr>
      <w:tr>
        <w:trPr>
          <w:trHeight w:val="212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komunikować się z jednostką oraz grupą społeczną w zakresie związanym z programem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komunikować się z jednostką lub grupą społeczną w celu określenia ich potrzeb zdrowotnych oraz ich oczekiwań w stosunku do służby zdrowia i placówek opieki zdrowotnej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udzielać porad pacjentowi przy wykorzystaniu środków spożywczych specjalnego przeznaczenia żywieniowego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opanował język obcy w stopniu umożliwiającym korzystanie z piśmiennictwa zawodowego i podstawową komunikację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pracować w zespole wielodyscyplinarnym, udzielić porady dietetycznej, opracować i przygotować posiłki w ramach cateringu i zespołu terapeutycznego, także w celu zapewnienia ciągłości opieki nad pacjentem</w:t>
            </w:r>
          </w:p>
        </w:tc>
      </w:tr>
      <w:tr>
        <w:trPr>
          <w:trHeight w:val="252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MP_P6S_UW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identyfikować problemy pacjenta, klienta oraz grupy społecznej </w:t>
              <w:br/>
              <w:t>i podjąć odpowiednie działania diagnostyczne, profilaktyczne, pielęgnacyjne, terapeutyczne oraz edukacyjne w zakresie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zidentyfikować problem i udzielić pierwszej pomocy przedmedycznej</w:t>
            </w:r>
          </w:p>
        </w:tc>
      </w:tr>
      <w:tr>
        <w:trPr>
          <w:trHeight w:val="2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posługuje się mianownictwem anatomicznym, wyjaśnia anatomiczne podstawy wykonywania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podstawowych czynności medycznych</w:t>
            </w:r>
          </w:p>
        </w:tc>
      </w:tr>
      <w:tr>
        <w:trPr>
          <w:trHeight w:val="2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ocenić narażenia  człowieka na czynniki szkodliwe oraz skutki zdrowotne środowiskowych czynników ryzyka</w:t>
            </w:r>
          </w:p>
        </w:tc>
      </w:tr>
      <w:tr>
        <w:trPr>
          <w:trHeight w:val="2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potrafi identyfikować problemy żywieniowe i zdrowotne pacjentów z wybranych grup społecznych (dzieci, młodzież, kobiety w ciąży, niepełnosprawni,ludzie </w:t>
              <w:br/>
              <w:t>w podeszłym wieku)</w:t>
            </w:r>
          </w:p>
        </w:tc>
      </w:tr>
      <w:tr>
        <w:trPr>
          <w:trHeight w:val="171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podjąć działania w zakresie profilaktyki i opieki w odniesieniu do chorób zakaźnych, nie zakaźnych o znaczeniu społecznym oraz uzależnień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ocenia stan odżywienia pacjenta </w:t>
              <w:br/>
              <w:t>i rozpoznaje stany zagrożenia życia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identyfikować błędy i zaniedbania popełnione w działaniach promujących zdrowy styl życia oraz sprecyzować działania naprawcze</w:t>
            </w:r>
          </w:p>
        </w:tc>
      </w:tr>
      <w:tr>
        <w:trPr>
          <w:trHeight w:val="16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ułożyć prawidłową dietę dla różnych grup wiekowych oraz  chorych z grupy chorób społecznych oraz monitorować postępy w leczeniu</w:t>
            </w:r>
          </w:p>
        </w:tc>
      </w:tr>
      <w:tr>
        <w:trPr>
          <w:trHeight w:val="86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KP6_UW10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rozpoznaje choroby dietozależne i potrafi ustalić zasady postępowania dietetycznego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podjąć działania w zakresie profilaktyki żywieniowej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klasyfikuje choroby genetyczne ze względu na sposób dziedziczenia</w:t>
            </w:r>
          </w:p>
        </w:tc>
      </w:tr>
      <w:tr>
        <w:trPr>
          <w:trHeight w:val="85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rozpoznaje choroby żywieniowo zależne</w:t>
            </w:r>
          </w:p>
        </w:tc>
      </w:tr>
      <w:tr>
        <w:trPr>
          <w:trHeight w:val="202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MP_P6S_UW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korzystać z technik informacyjnych w celu pozyskania </w:t>
              <w:br/>
              <w:t>i przechowywania danych, a także pozyskiwać i interpretować dane liczbowe związane z zawodem właściwym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dokonać analizy przydatności zebranych danych dla ustalenia struktury i wielkości potrzeb zdrowotnych określonej grupy społecznej</w:t>
            </w:r>
          </w:p>
        </w:tc>
      </w:tr>
      <w:tr>
        <w:trPr>
          <w:trHeight w:val="20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posiada umiejętność obsługi komputera i wykorzystania specjalistycznych programów oraz pozyskiwania i gromadzenia i przetwarzania danych związanych z wykonywanym zawodem oraz przygotowywaniem prezentacji</w:t>
            </w:r>
          </w:p>
        </w:tc>
      </w:tr>
      <w:tr>
        <w:trPr>
          <w:trHeight w:val="20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potrafi interpretować dane liczbowe </w:t>
              <w:br/>
              <w:t xml:space="preserve">z zakresu statystyki, demografii </w:t>
              <w:br/>
              <w:t>i epidemiologii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identyfikować błędy i zaniedbania w praktyce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identyfikować błędy i zaniedbania popełnione w działaniach promujących zdrowy styl życia oraz sprecyzować działania naprawcze</w:t>
            </w:r>
          </w:p>
        </w:tc>
      </w:tr>
      <w:tr>
        <w:trPr>
          <w:trHeight w:val="212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MP_P6S_UO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planować, realizować oraz dokumentować działania związane z zawodem właściwym dla programu kształcenia, z uwzględnieniem obowiązujących norm oraz dostępnych warunków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potrafi prowadzić dokumentację </w:t>
              <w:br/>
              <w:t>w instytucjach odpowiedzialnych za ochronę i promocję zdrowia z uwzględnieniem roli administracji w realizacji zadań polityki zdrowotnej na szczeblu lokalnym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potrafi podjąć działania w zakresie planowania i wdrażania programów dotyczących profilaktyki, promocji zdrowia, opieki zdrowotnej w środowisku lokalnym </w:t>
              <w:br/>
              <w:t>i miejscu pracy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ma umiejętność planowania i organizowania działań w zakresie promocji zdrowia, poprawy i utrzymania zdrowia fizycznego i psychicznego oraz utrwalania poczucia bezpieczeństwa jednostek lub grup społecznych w odniesieniu do polityki zdrowotnej państwa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posiada umiejętność przygotowania pisemnego raportu w oparciu o własne działania lub dane źródłowe</w:t>
            </w:r>
          </w:p>
        </w:tc>
      </w:tr>
      <w:tr>
        <w:trPr>
          <w:trHeight w:val="21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posiada umiejętność prezentowania </w:t>
              <w:br/>
              <w:t>w formie ustnej wyników własnych działań i przemyśleń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MP_P6S_UW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wykazać się specjalistycznymi umiejętnościami ruchowymi z zakresu wybranych form aktywności fizycznej (rekreacyjnych, zdrowotnych, sportowych i estetycznych) właściwych dla programu kształcenia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KP6_UW18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dostrzega oznaki antyzdrowotnych zachowań dietetycznych i na nie reaguje, kierując się dobrem pacjenta.  Swoją postawą promuje aktywność ruchową i zachowania prozdrowotne   </w:t>
            </w:r>
          </w:p>
        </w:tc>
      </w:tr>
      <w:tr>
        <w:trPr/>
        <w:tc>
          <w:tcPr>
            <w:tcW w:w="14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KOMPETENCJE SPOŁECZNE: absolwent jest gotów do</w:t>
            </w:r>
          </w:p>
        </w:tc>
      </w:tr>
      <w:tr>
        <w:trPr/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MP_P6S_KK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zasięgnięcia opinii ekspertów w przypadku trudności z samodzielnym rozwiązaniem problemu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KP6_KK1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ma świadomość własnych ograniczeń i wie, kiedy się zwrócić do ekspertów</w:t>
            </w:r>
          </w:p>
        </w:tc>
      </w:tr>
      <w:tr>
        <w:trPr>
          <w:trHeight w:val="13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MP_P6S_KR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okazywania szacunku wobec pacjenta, klienta, grup społecznych oraz troski o ich dobro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KP6_KR1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przestrzega i stosuje zasady etyki akademickiej i zawodowej oraz zasady profesjonalizmu zawodowego</w:t>
            </w:r>
          </w:p>
        </w:tc>
      </w:tr>
      <w:tr>
        <w:trPr>
          <w:trHeight w:val="127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KP6_KR2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okazuje tolerancję dla postaw i zachowań wynikających z odmiennych uwarunkowań społecznych, kulturowych i wieku</w:t>
            </w:r>
          </w:p>
        </w:tc>
      </w:tr>
      <w:tr>
        <w:trPr>
          <w:trHeight w:val="15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MP_P6S_UO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współpracy w zespole wielodyscyplinarnym, w celu zapewnienia ciągłości opieki nad pacjentem oraz bezpieczeństwa wszystkich uczestników zespołu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współpracować w grupie i w zespole interdyscyplinarnym, być liderem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ma świadomość odpowiedzialności za wspólnie realizowane zadania przez dany zespół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określić priorytety i profesjonalnie wykorzystać wszystkie dostępne środki służące realizacji zadań postawionych przed zespołem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KP6_UO4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wyznaczone zadania realizuje </w:t>
              <w:br/>
              <w:t>z zachowaniem bezpieczeństwa własnego i otoczenia</w:t>
            </w:r>
          </w:p>
        </w:tc>
      </w:tr>
      <w:tr>
        <w:trPr>
          <w:trHeight w:val="15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MP_P6S_KK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rozwiązywania problemów etycznych związanych z wykonywaniem zawodu oraz określenia priorytetów służących realizacji określonych zadań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KP6_KK2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krytycznie ocenić działania własne i kolegów w pracy zespołu, przyjmując w nim różne obowiązki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KP6_KK3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identyfikuje i potrafi rozwiązywać problemy związane z wykonaniem zawodu</w:t>
            </w:r>
          </w:p>
        </w:tc>
      </w:tr>
      <w:tr>
        <w:trPr>
          <w:trHeight w:val="151" w:hRule="atLeast"/>
        </w:trPr>
        <w:tc>
          <w:tcPr>
            <w:tcW w:w="2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MP_P6S_UK</w:t>
            </w:r>
          </w:p>
        </w:tc>
        <w:tc>
          <w:tcPr>
            <w:tcW w:w="5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formułowania opinii dotyczących pacjentów, klientów, grup społecznych w kontekście związanym z wykonywaniem zawodu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rozumie potrzebę doskonalenia i uczenia się przez całe życie oraz potrzebę rozwoju osobowego oraz naukowego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formułować opinie dotyczące pacjentów i grup społecznych w kontekście związanym z wykonywaniem zawodu</w:t>
            </w:r>
          </w:p>
        </w:tc>
      </w:tr>
      <w:tr>
        <w:trPr>
          <w:trHeight w:val="150" w:hRule="atLeast"/>
        </w:trPr>
        <w:tc>
          <w:tcPr>
            <w:tcW w:w="2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9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KP6_UK3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potrafi myśleć i działać w sposób przedsiębiorczy z wykorzystaniem uwarunkowań ekonomiczno – prawnych</w:t>
            </w:r>
          </w:p>
        </w:tc>
      </w:tr>
      <w:tr>
        <w:trPr>
          <w:trHeight w:val="425" w:hRule="atLeast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MP_P6S_KR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dbania o poziom sprawności fizycznej niezbędnej dla wykonywania zadań właściwych dla działalności zawodowejzwiązanej z kierunkiem studiów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KP6_KR3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promuje zachowania prozdrowotne, </w:t>
              <w:br/>
              <w:t>w szczególności zdrowego odżywiania i zdrowego stylu życia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418" w:header="709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spacing w:before="0" w:after="0"/>
        <w:contextualSpacing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ind w:left="142" w:right="0" w:hanging="284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Objaśnienie oznaczeń: </w:t>
      </w:r>
    </w:p>
    <w:tbl>
      <w:tblPr>
        <w:tblW w:w="10207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7087"/>
      </w:tblGrid>
      <w:tr>
        <w:trPr/>
        <w:tc>
          <w:tcPr>
            <w:tcW w:w="10206" w:type="dxa"/>
            <w:gridSpan w:val="2"/>
            <w:tcBorders/>
            <w:shd w:color="auto" w:fill="auto" w:val="clear"/>
          </w:tcPr>
          <w:p>
            <w:pPr>
              <w:pStyle w:val="Default"/>
              <w:spacing w:before="0" w:after="27"/>
              <w:ind w:left="0" w:hanging="0"/>
              <w:jc w:val="center"/>
              <w:rPr>
                <w:b/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Objaśnienie oznaczeń kodu składnika opisu w obszarze kształcenia</w:t>
            </w:r>
          </w:p>
        </w:tc>
      </w:tr>
      <w:tr>
        <w:trPr>
          <w:trHeight w:val="751" w:hRule="atLeast"/>
        </w:trPr>
        <w:tc>
          <w:tcPr>
            <w:tcW w:w="3119" w:type="dxa"/>
            <w:tcBorders/>
            <w:shd w:color="auto" w:fill="auto" w:val="clear"/>
          </w:tcPr>
          <w:p>
            <w:pPr>
              <w:pStyle w:val="Default"/>
              <w:spacing w:before="0" w:after="27"/>
              <w:ind w:left="1070" w:hanging="1070"/>
              <w:rPr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P_P6S</w:t>
              <w:tab/>
            </w:r>
          </w:p>
        </w:tc>
        <w:tc>
          <w:tcPr>
            <w:tcW w:w="7087" w:type="dxa"/>
            <w:tcBorders/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jc w:val="both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charakterystyki drugiego stopnia w obszarze kształcenia </w:t>
              <w:br/>
              <w:t>w zakresie nauk medycznych i nauk o zdrowiu oraz nauk o kulturze fizycznej dla studiów pierwszego stopnia o profilu praktycznym</w:t>
            </w:r>
          </w:p>
        </w:tc>
      </w:tr>
      <w:tr>
        <w:trPr/>
        <w:tc>
          <w:tcPr>
            <w:tcW w:w="10206" w:type="dxa"/>
            <w:gridSpan w:val="2"/>
            <w:tcBorders>
              <w:bottom w:val="single" w:sz="18" w:space="0" w:color="548DD4"/>
              <w:insideH w:val="single" w:sz="18" w:space="0" w:color="548DD4"/>
            </w:tcBorders>
            <w:shd w:color="auto" w:fill="auto" w:val="clear"/>
          </w:tcPr>
          <w:p>
            <w:pPr>
              <w:pStyle w:val="Default"/>
              <w:spacing w:before="0" w:after="27"/>
              <w:ind w:firstLine="33"/>
              <w:jc w:val="center"/>
              <w:rPr>
                <w:b/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Objaśnienia oznaczeń komponentów efektów kształcenia wspólne dla opisu symbolu efektu kształcenia oraz kodu składnika opisu w obszarze kształcenia</w:t>
            </w:r>
          </w:p>
        </w:tc>
      </w:tr>
      <w:tr>
        <w:trPr>
          <w:trHeight w:val="334" w:hRule="atLeast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7087" w:type="dxa"/>
            <w:tcBorders>
              <w:top w:val="single" w:sz="18" w:space="0" w:color="548DD4"/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kategoria wiedzy, w tym:</w:t>
            </w:r>
          </w:p>
        </w:tc>
      </w:tr>
      <w:tr>
        <w:trPr>
          <w:trHeight w:val="334" w:hRule="atLeast"/>
        </w:trPr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color w:val="00000A"/>
                <w:sz w:val="26"/>
                <w:szCs w:val="26"/>
              </w:rPr>
              <w:t>zakres i głębia,</w:t>
            </w:r>
          </w:p>
        </w:tc>
      </w:tr>
      <w:tr>
        <w:trPr>
          <w:trHeight w:val="334" w:hRule="atLeast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  <w:insideH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7087" w:type="dxa"/>
            <w:tcBorders>
              <w:bottom w:val="single" w:sz="18" w:space="0" w:color="548DD4"/>
              <w:right w:val="single" w:sz="18" w:space="0" w:color="548DD4"/>
              <w:insideH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color w:val="00000A"/>
                <w:sz w:val="26"/>
                <w:szCs w:val="26"/>
              </w:rPr>
              <w:t>kontekst,</w:t>
            </w:r>
          </w:p>
        </w:tc>
      </w:tr>
      <w:tr>
        <w:trPr/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  <w:tab/>
            </w:r>
          </w:p>
        </w:tc>
        <w:tc>
          <w:tcPr>
            <w:tcW w:w="7087" w:type="dxa"/>
            <w:tcBorders>
              <w:top w:val="single" w:sz="18" w:space="0" w:color="548DD4"/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kategoria umiejętności, w tym: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wykorzystywania wiedzy,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komunikowania się,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organizacji pracy,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  <w:bottom w:val="single" w:sz="18" w:space="0" w:color="548DD4"/>
              <w:insideH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7087" w:type="dxa"/>
            <w:tcBorders>
              <w:bottom w:val="single" w:sz="18" w:space="0" w:color="548DD4"/>
              <w:right w:val="single" w:sz="18" w:space="0" w:color="548DD4"/>
              <w:insideH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uczenia się.</w:t>
            </w:r>
          </w:p>
        </w:tc>
      </w:tr>
      <w:tr>
        <w:trPr/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podkreślniku)</w:t>
            </w:r>
          </w:p>
        </w:tc>
        <w:tc>
          <w:tcPr>
            <w:tcW w:w="7087" w:type="dxa"/>
            <w:tcBorders>
              <w:top w:val="single" w:sz="18" w:space="0" w:color="548DD4"/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kategoria kompetencji społecznych, w tym: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(</w:t>
            </w:r>
            <w:r>
              <w:rPr>
                <w:i/>
                <w:sz w:val="26"/>
                <w:szCs w:val="26"/>
              </w:rPr>
              <w:t>po Kpo podkreślniku)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oceny</w:t>
            </w:r>
            <w:r>
              <w:rPr>
                <w:color w:val="00000A"/>
                <w:sz w:val="26"/>
                <w:szCs w:val="26"/>
              </w:rPr>
              <w:t xml:space="preserve">, 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(</w:t>
            </w:r>
            <w:r>
              <w:rPr>
                <w:i/>
                <w:sz w:val="26"/>
                <w:szCs w:val="26"/>
              </w:rPr>
              <w:t>po Kpo podkreślniku)</w:t>
            </w:r>
          </w:p>
        </w:tc>
        <w:tc>
          <w:tcPr>
            <w:tcW w:w="7087" w:type="dxa"/>
            <w:tcBorders>
              <w:right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odpowiedzialność,</w:t>
            </w:r>
          </w:p>
        </w:tc>
      </w:tr>
      <w:tr>
        <w:trPr/>
        <w:tc>
          <w:tcPr>
            <w:tcW w:w="3119" w:type="dxa"/>
            <w:tcBorders>
              <w:left w:val="single" w:sz="18" w:space="0" w:color="548DD4"/>
              <w:bottom w:val="single" w:sz="18" w:space="0" w:color="548DD4"/>
              <w:insideH w:val="single" w:sz="18" w:space="0" w:color="548DD4"/>
            </w:tcBorders>
            <w:shd w:color="auto" w:fill="auto" w:val="clear"/>
            <w:tcMar>
              <w:left w:w="85" w:type="dxa"/>
            </w:tcMar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(</w:t>
            </w:r>
            <w:r>
              <w:rPr>
                <w:i/>
                <w:sz w:val="26"/>
                <w:szCs w:val="26"/>
              </w:rPr>
              <w:t>po Kpo podkreślniku)</w:t>
            </w:r>
          </w:p>
        </w:tc>
        <w:tc>
          <w:tcPr>
            <w:tcW w:w="7087" w:type="dxa"/>
            <w:tcBorders>
              <w:bottom w:val="single" w:sz="18" w:space="0" w:color="548DD4"/>
              <w:right w:val="single" w:sz="18" w:space="0" w:color="548DD4"/>
              <w:insideH w:val="single" w:sz="18" w:space="0" w:color="548DD4"/>
              <w:insideV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color w:val="00000A"/>
                <w:sz w:val="26"/>
                <w:szCs w:val="26"/>
              </w:rPr>
              <w:t>roli zawodowej.</w:t>
            </w:r>
          </w:p>
        </w:tc>
      </w:tr>
      <w:tr>
        <w:trPr/>
        <w:tc>
          <w:tcPr>
            <w:tcW w:w="3119" w:type="dxa"/>
            <w:tcBorders>
              <w:top w:val="single" w:sz="18" w:space="0" w:color="548DD4"/>
            </w:tcBorders>
            <w:shd w:color="auto" w:fill="auto" w:val="clear"/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7087" w:type="dxa"/>
            <w:tcBorders>
              <w:top w:val="single" w:sz="18" w:space="0" w:color="548DD4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color w:val="00000A"/>
                <w:sz w:val="26"/>
                <w:szCs w:val="26"/>
              </w:rPr>
            </w:pPr>
            <w:r>
              <w:rPr>
                <w:color w:val="00000A"/>
                <w:sz w:val="26"/>
                <w:szCs w:val="26"/>
              </w:rPr>
              <w:t>numer efektu kształcenia</w:t>
            </w:r>
          </w:p>
        </w:tc>
      </w:tr>
      <w:tr>
        <w:trPr/>
        <w:tc>
          <w:tcPr>
            <w:tcW w:w="10206" w:type="dxa"/>
            <w:gridSpan w:val="2"/>
            <w:tcBorders/>
            <w:shd w:color="auto" w:fill="auto" w:val="clear"/>
          </w:tcPr>
          <w:p>
            <w:pPr>
              <w:pStyle w:val="Default"/>
              <w:spacing w:before="0" w:after="27"/>
              <w:ind w:left="720" w:hanging="720"/>
              <w:jc w:val="center"/>
              <w:rPr>
                <w:b/>
                <w:b/>
                <w:color w:val="00000A"/>
                <w:sz w:val="26"/>
                <w:szCs w:val="26"/>
              </w:rPr>
            </w:pPr>
            <w:r>
              <w:rPr>
                <w:b/>
                <w:color w:val="00000A"/>
                <w:sz w:val="26"/>
                <w:szCs w:val="26"/>
              </w:rPr>
              <w:t>Objaśnienia oznaczeń symbolu efektu kierunkowego</w:t>
            </w:r>
          </w:p>
        </w:tc>
      </w:tr>
      <w:tr>
        <w:trPr/>
        <w:tc>
          <w:tcPr>
            <w:tcW w:w="3119" w:type="dxa"/>
            <w:tcBorders/>
            <w:shd w:color="auto" w:fill="auto" w:val="clear"/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7087" w:type="dxa"/>
            <w:tcBorders/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kształcenia</w:t>
            </w:r>
          </w:p>
        </w:tc>
      </w:tr>
      <w:tr>
        <w:trPr/>
        <w:tc>
          <w:tcPr>
            <w:tcW w:w="3119" w:type="dxa"/>
            <w:tcBorders/>
            <w:shd w:color="auto" w:fill="auto" w:val="clear"/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  </w:t>
            </w:r>
            <w:r>
              <w:rPr>
                <w:i/>
                <w:sz w:val="26"/>
                <w:szCs w:val="26"/>
              </w:rPr>
              <w:t>(przed podkreślnikiem)</w:t>
            </w:r>
          </w:p>
        </w:tc>
        <w:tc>
          <w:tcPr>
            <w:tcW w:w="7087" w:type="dxa"/>
            <w:tcBorders/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praktyczny </w:t>
            </w:r>
          </w:p>
        </w:tc>
      </w:tr>
      <w:tr>
        <w:trPr/>
        <w:tc>
          <w:tcPr>
            <w:tcW w:w="3119" w:type="dxa"/>
            <w:tcBorders/>
            <w:shd w:color="auto" w:fill="auto" w:val="clear"/>
          </w:tcPr>
          <w:p>
            <w:pPr>
              <w:pStyle w:val="Default"/>
              <w:spacing w:before="0" w:after="27"/>
              <w:ind w:left="28" w:right="19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7087" w:type="dxa"/>
            <w:tcBorders/>
            <w:shd w:color="auto" w:fill="auto" w:val="clear"/>
          </w:tcPr>
          <w:p>
            <w:pPr>
              <w:pStyle w:val="Default"/>
              <w:numPr>
                <w:ilvl w:val="0"/>
                <w:numId w:val="1"/>
              </w:numPr>
              <w:spacing w:before="0"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studia pierwszego stopnia </w:t>
            </w:r>
          </w:p>
        </w:tc>
      </w:tr>
    </w:tbl>
    <w:p>
      <w:pPr>
        <w:pStyle w:val="ListParagraph"/>
        <w:shd w:val="clear" w:color="auto" w:fill="FFFFFF"/>
        <w:spacing w:before="0" w:after="0"/>
        <w:ind w:left="720" w:right="0" w:hanging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Oznaczenia obszarów kształcenia: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M</w:t>
      </w:r>
      <w:r>
        <w:rPr>
          <w:rFonts w:cs="Times New Roman" w:ascii="Times New Roman" w:hAnsi="Times New Roman"/>
          <w:sz w:val="26"/>
          <w:szCs w:val="26"/>
        </w:rPr>
        <w:t xml:space="preserve"> – obszar kształcenia w zakresie nauk medycznych i nauk o zdrowiu oraz nauk o kulturze fizycznej</w:t>
      </w:r>
    </w:p>
    <w:p>
      <w:pPr>
        <w:pStyle w:val="ListParagraph"/>
        <w:shd w:val="clear" w:color="auto" w:fill="FFFFFF"/>
        <w:spacing w:before="0" w:after="0"/>
        <w:ind w:left="284" w:right="0" w:hanging="0"/>
        <w:contextualSpacing/>
        <w:jc w:val="both"/>
        <w:rPr>
          <w:rFonts w:ascii="Times New Roman" w:hAnsi="Times New Roman"/>
          <w:b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6"/>
        <w:i w:val="false"/>
        <w:b/>
        <w:szCs w:val="26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6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09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c09a7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c09a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Times New Roman" w:hAnsi="Times New Roman"/>
      <w:color w:val="00000A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i w:val="false"/>
      <w:color w:val="00000A"/>
      <w:sz w:val="26"/>
      <w:szCs w:val="2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5c09a7"/>
    <w:pPr>
      <w:spacing w:lineRule="auto" w:line="240" w:before="0" w:after="60"/>
      <w:ind w:left="720" w:hanging="709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5c09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Gwka">
    <w:name w:val="Główka"/>
    <w:basedOn w:val="Normal"/>
    <w:link w:val="NagwekZnak"/>
    <w:uiPriority w:val="99"/>
    <w:unhideWhenUsed/>
    <w:rsid w:val="005c09a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Stopka">
    <w:name w:val="Stopka"/>
    <w:basedOn w:val="Normal"/>
    <w:link w:val="StopkaZnak"/>
    <w:uiPriority w:val="99"/>
    <w:rsid w:val="005c09a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2017-11-02T11:41:00Z</dcterms:created>
  <dc:creator>Zofia Konopka</dc:creator>
  <dc:language>pl-PL</dc:language>
  <cp:lastModifiedBy>Zofia Konopka</cp:lastModifiedBy>
  <dcterms:modified xsi:type="dcterms:W3CDTF">2017-11-02T11:42:00Z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