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7478" w14:textId="77777777" w:rsidR="003C40D1" w:rsidRDefault="00F441BC">
      <w:pPr>
        <w:spacing w:after="262"/>
        <w:jc w:val="right"/>
      </w:pPr>
      <w:r>
        <w:rPr>
          <w:rFonts w:ascii="Arial" w:eastAsia="Arial" w:hAnsi="Arial" w:cs="Arial"/>
          <w:b/>
          <w:sz w:val="24"/>
        </w:rPr>
        <w:t xml:space="preserve">Zagadnienia od samodzielnego opracowania przez studenta </w:t>
      </w:r>
    </w:p>
    <w:p w14:paraId="2FD0E474" w14:textId="77777777" w:rsidR="003C40D1" w:rsidRDefault="00F441BC">
      <w:pPr>
        <w:spacing w:after="261"/>
        <w:ind w:left="1116"/>
        <w:jc w:val="center"/>
      </w:pPr>
      <w:r>
        <w:rPr>
          <w:rFonts w:ascii="Arial" w:eastAsia="Arial" w:hAnsi="Arial" w:cs="Arial"/>
          <w:b/>
          <w:sz w:val="24"/>
        </w:rPr>
        <w:t xml:space="preserve">SAMOKSZTAŁCENIE </w:t>
      </w:r>
    </w:p>
    <w:p w14:paraId="7BD90D34" w14:textId="77777777" w:rsidR="003C40D1" w:rsidRDefault="00F441BC">
      <w:pPr>
        <w:spacing w:after="0"/>
        <w:ind w:left="2761"/>
      </w:pPr>
      <w:r>
        <w:rPr>
          <w:rFonts w:ascii="Arial" w:eastAsia="Arial" w:hAnsi="Arial" w:cs="Arial"/>
          <w:b/>
          <w:sz w:val="24"/>
        </w:rPr>
        <w:t xml:space="preserve">Genetyka, Pielęgniarstwo, I rok   </w:t>
      </w:r>
    </w:p>
    <w:tbl>
      <w:tblPr>
        <w:tblStyle w:val="TableGrid"/>
        <w:tblW w:w="9324" w:type="dxa"/>
        <w:tblInd w:w="-142" w:type="dxa"/>
        <w:tblCellMar>
          <w:top w:w="64" w:type="dxa"/>
          <w:left w:w="43" w:type="dxa"/>
          <w:right w:w="53" w:type="dxa"/>
        </w:tblCellMar>
        <w:tblLook w:val="04A0" w:firstRow="1" w:lastRow="0" w:firstColumn="1" w:lastColumn="0" w:noHBand="0" w:noVBand="1"/>
      </w:tblPr>
      <w:tblGrid>
        <w:gridCol w:w="3046"/>
        <w:gridCol w:w="6278"/>
      </w:tblGrid>
      <w:tr w:rsidR="003C40D1" w14:paraId="4BC2EBDF" w14:textId="77777777">
        <w:trPr>
          <w:trHeight w:val="398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86A4" w14:textId="77777777" w:rsidR="003C40D1" w:rsidRDefault="00F441BC">
            <w:pPr>
              <w:ind w:left="36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Temat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1A12" w14:textId="77777777" w:rsidR="003C40D1" w:rsidRDefault="00F441BC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Literatura </w:t>
            </w:r>
          </w:p>
        </w:tc>
      </w:tr>
      <w:tr w:rsidR="003C40D1" w14:paraId="2A36D89D" w14:textId="77777777">
        <w:trPr>
          <w:trHeight w:val="2026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A0DB" w14:textId="6F7B9860" w:rsidR="003C40D1" w:rsidRDefault="00F441BC" w:rsidP="00901E6F">
            <w:pPr>
              <w:spacing w:line="255" w:lineRule="auto"/>
              <w:ind w:left="425" w:right="126" w:hanging="360"/>
            </w:pPr>
            <w:r>
              <w:rPr>
                <w:rFonts w:ascii="Arial" w:eastAsia="Arial" w:hAnsi="Arial" w:cs="Arial"/>
              </w:rPr>
              <w:t>1. Replikacja</w:t>
            </w:r>
            <w:r w:rsidR="00901E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- etapy, enzymu. Porównanie mechanizmów replikacja genomu u </w:t>
            </w:r>
            <w:proofErr w:type="spellStart"/>
            <w:r>
              <w:rPr>
                <w:rFonts w:ascii="Arial" w:eastAsia="Arial" w:hAnsi="Arial" w:cs="Arial"/>
                <w:i/>
              </w:rPr>
              <w:t>Prokaryota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14:paraId="112AB90B" w14:textId="77777777" w:rsidR="003C40D1" w:rsidRDefault="00F441BC" w:rsidP="00901E6F">
            <w:pPr>
              <w:ind w:left="425"/>
            </w:pPr>
            <w:proofErr w:type="spellStart"/>
            <w:r>
              <w:rPr>
                <w:rFonts w:ascii="Arial" w:eastAsia="Arial" w:hAnsi="Arial" w:cs="Arial"/>
                <w:i/>
              </w:rPr>
              <w:t>Eukaryota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996A" w14:textId="77777777" w:rsidR="003C40D1" w:rsidRDefault="00F441BC" w:rsidP="00901E6F">
            <w:pPr>
              <w:spacing w:after="44"/>
            </w:pPr>
            <w:r>
              <w:rPr>
                <w:rFonts w:ascii="Arial" w:eastAsia="Arial" w:hAnsi="Arial" w:cs="Arial"/>
                <w:sz w:val="20"/>
              </w:rPr>
              <w:t xml:space="preserve">„Podstawy genetyki dla studentów i lekarzy”, red. G. Drewa i T. </w:t>
            </w:r>
          </w:p>
          <w:p w14:paraId="1E4F36C0" w14:textId="77777777" w:rsidR="003C40D1" w:rsidRDefault="00F441BC" w:rsidP="00901E6F">
            <w:pPr>
              <w:spacing w:after="49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Ferenc; Urban &amp; Partner, Wrocław, 2007; cały rozdział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3.6 (3.6.1- </w:t>
            </w:r>
          </w:p>
          <w:p w14:paraId="5FF422EA" w14:textId="77777777" w:rsidR="003C40D1" w:rsidRDefault="00F441BC" w:rsidP="00901E6F">
            <w:pPr>
              <w:spacing w:after="49"/>
              <w:ind w:left="65"/>
            </w:pPr>
            <w:r>
              <w:rPr>
                <w:rFonts w:ascii="Arial" w:eastAsia="Arial" w:hAnsi="Arial" w:cs="Arial"/>
                <w:b/>
                <w:sz w:val="20"/>
              </w:rPr>
              <w:t>3.6.9)</w:t>
            </w:r>
            <w:r>
              <w:rPr>
                <w:rFonts w:ascii="Arial" w:eastAsia="Arial" w:hAnsi="Arial" w:cs="Arial"/>
                <w:sz w:val="20"/>
              </w:rPr>
              <w:t xml:space="preserve"> lub odpowiednie rozdziały z Drewa G., Ferenc T. 2011, </w:t>
            </w:r>
          </w:p>
          <w:p w14:paraId="33EC4992" w14:textId="77777777" w:rsidR="003C40D1" w:rsidRDefault="00F441BC" w:rsidP="00901E6F">
            <w:pPr>
              <w:spacing w:line="297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„Genetyka medyczna – podręcznik dla studentów”; wyd.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Elsevier Urban &amp; Partner, 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Wrocław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>, (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dostęp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 on-line, Bibl. </w:t>
            </w:r>
            <w:r>
              <w:rPr>
                <w:rFonts w:ascii="Arial" w:eastAsia="Arial" w:hAnsi="Arial" w:cs="Arial"/>
                <w:sz w:val="20"/>
              </w:rPr>
              <w:t>UWM/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elibrary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14:paraId="0ACF225C" w14:textId="025EC957" w:rsidR="003C40D1" w:rsidRDefault="001052DC" w:rsidP="00901E6F">
            <w:pPr>
              <w:spacing w:after="17"/>
              <w:ind w:left="65"/>
            </w:pPr>
            <w:r w:rsidRPr="001052DC">
              <w:rPr>
                <w:rFonts w:ascii="Arial" w:eastAsia="Arial" w:hAnsi="Arial" w:cs="Arial"/>
                <w:sz w:val="20"/>
              </w:rPr>
              <w:t>https://www-1elibrary-1com-1pl-193zlw47q00e6.han.uwm.edu.pl/bookshelf</w:t>
            </w:r>
            <w:r w:rsidR="00F441BC"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4765DF5D" w14:textId="77777777" w:rsidR="003C40D1" w:rsidRDefault="00F441BC" w:rsidP="00901E6F">
            <w:r>
              <w:rPr>
                <w:rFonts w:ascii="Arial" w:eastAsia="Arial" w:hAnsi="Arial" w:cs="Arial"/>
                <w:sz w:val="20"/>
              </w:rPr>
              <w:t xml:space="preserve">– Replikacja DNA </w:t>
            </w:r>
          </w:p>
        </w:tc>
      </w:tr>
      <w:tr w:rsidR="003C40D1" w14:paraId="74D814B3" w14:textId="77777777">
        <w:trPr>
          <w:trHeight w:val="199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D31C" w14:textId="77777777" w:rsidR="003C40D1" w:rsidRDefault="00F441BC" w:rsidP="00901E6F">
            <w:pPr>
              <w:ind w:left="425" w:right="226" w:hanging="360"/>
            </w:pPr>
            <w:r>
              <w:rPr>
                <w:rFonts w:ascii="Arial" w:eastAsia="Arial" w:hAnsi="Arial" w:cs="Arial"/>
              </w:rPr>
              <w:t xml:space="preserve">2. Mechanizm transkrypcji u </w:t>
            </w:r>
            <w:proofErr w:type="spellStart"/>
            <w:r>
              <w:rPr>
                <w:rFonts w:ascii="Arial" w:eastAsia="Arial" w:hAnsi="Arial" w:cs="Arial"/>
                <w:i/>
              </w:rPr>
              <w:t>Prokaryota</w:t>
            </w:r>
            <w:proofErr w:type="spellEnd"/>
            <w:r>
              <w:rPr>
                <w:rFonts w:ascii="Arial" w:eastAsia="Arial" w:hAnsi="Arial" w:cs="Arial"/>
              </w:rPr>
              <w:t xml:space="preserve">  i </w:t>
            </w:r>
            <w:proofErr w:type="spellStart"/>
            <w:r>
              <w:rPr>
                <w:rFonts w:ascii="Arial" w:eastAsia="Arial" w:hAnsi="Arial" w:cs="Arial"/>
                <w:i/>
              </w:rPr>
              <w:t>Eukaryota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(etapy, enzymy)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8502" w14:textId="77777777" w:rsidR="003C40D1" w:rsidRDefault="00F441BC" w:rsidP="00901E6F">
            <w:pPr>
              <w:spacing w:after="44"/>
            </w:pPr>
            <w:r>
              <w:rPr>
                <w:rFonts w:ascii="Arial" w:eastAsia="Arial" w:hAnsi="Arial" w:cs="Arial"/>
                <w:sz w:val="20"/>
              </w:rPr>
              <w:t xml:space="preserve">„Podstawy genetyki dla studentów i lekarzy”, red. G. Drewa i T. </w:t>
            </w:r>
          </w:p>
          <w:p w14:paraId="30AE5B2B" w14:textId="77777777" w:rsidR="003C40D1" w:rsidRDefault="00F441BC" w:rsidP="00901E6F">
            <w:pPr>
              <w:spacing w:after="47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Ferenc; Urban &amp; Partner, Wrocław, 2007; cały rozdział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4.3 (4.3.1- </w:t>
            </w:r>
          </w:p>
          <w:p w14:paraId="2BEC585D" w14:textId="77777777" w:rsidR="003C40D1" w:rsidRDefault="00F441BC" w:rsidP="00901E6F">
            <w:pPr>
              <w:spacing w:after="49"/>
              <w:ind w:left="65"/>
            </w:pPr>
            <w:r>
              <w:rPr>
                <w:rFonts w:ascii="Arial" w:eastAsia="Arial" w:hAnsi="Arial" w:cs="Arial"/>
                <w:b/>
                <w:sz w:val="20"/>
              </w:rPr>
              <w:t xml:space="preserve">4.3.2) </w:t>
            </w:r>
            <w:r>
              <w:rPr>
                <w:rFonts w:ascii="Arial" w:eastAsia="Arial" w:hAnsi="Arial" w:cs="Arial"/>
                <w:sz w:val="20"/>
              </w:rPr>
              <w:t>lub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odpowiednie rozdziały z Drewa G., Ferenc T. 2011, </w:t>
            </w:r>
          </w:p>
          <w:p w14:paraId="2506B62A" w14:textId="77777777" w:rsidR="003C40D1" w:rsidRDefault="00F441BC" w:rsidP="00901E6F">
            <w:pPr>
              <w:spacing w:line="297" w:lineRule="auto"/>
              <w:ind w:left="65"/>
            </w:pPr>
            <w:r>
              <w:rPr>
                <w:rFonts w:ascii="Arial" w:eastAsia="Arial" w:hAnsi="Arial" w:cs="Arial"/>
                <w:sz w:val="20"/>
              </w:rPr>
              <w:t xml:space="preserve">„Genetyka medyczna – podręcznik dla studentów”; wyd.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Elsevier Urban &amp; Partner, 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Wrocław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>, (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dostęp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 on-line, Bibl. </w:t>
            </w:r>
            <w:r>
              <w:rPr>
                <w:rFonts w:ascii="Arial" w:eastAsia="Arial" w:hAnsi="Arial" w:cs="Arial"/>
                <w:sz w:val="20"/>
              </w:rPr>
              <w:t>UWM/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elibrary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  <w:p w14:paraId="0D871C96" w14:textId="2D0A20B5" w:rsidR="003C40D1" w:rsidRDefault="001052DC" w:rsidP="00901E6F">
            <w:pPr>
              <w:spacing w:after="17"/>
              <w:ind w:left="65"/>
            </w:pPr>
            <w:r w:rsidRPr="001052DC">
              <w:rPr>
                <w:rFonts w:ascii="Arial" w:eastAsia="Arial" w:hAnsi="Arial" w:cs="Arial"/>
                <w:sz w:val="20"/>
              </w:rPr>
              <w:t>https://www-1elibrary-1com-1pl-193zlw47q00e6.han.uwm.edu.pl/bookshelf</w:t>
            </w:r>
            <w:r w:rsidR="00F441BC">
              <w:rPr>
                <w:rFonts w:ascii="Arial" w:eastAsia="Arial" w:hAnsi="Arial" w:cs="Arial"/>
                <w:sz w:val="20"/>
              </w:rPr>
              <w:t xml:space="preserve">) </w:t>
            </w:r>
          </w:p>
          <w:p w14:paraId="13606A3B" w14:textId="77777777" w:rsidR="003C40D1" w:rsidRDefault="00F441BC" w:rsidP="00901E6F">
            <w:r>
              <w:rPr>
                <w:rFonts w:ascii="Arial" w:eastAsia="Arial" w:hAnsi="Arial" w:cs="Arial"/>
                <w:sz w:val="20"/>
              </w:rPr>
              <w:t xml:space="preserve">– Transkrypcja  </w:t>
            </w:r>
          </w:p>
        </w:tc>
      </w:tr>
      <w:tr w:rsidR="003C40D1" w:rsidRPr="00EA1CA9" w14:paraId="696CEA13" w14:textId="77777777">
        <w:trPr>
          <w:trHeight w:val="212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0ADE" w14:textId="77777777" w:rsidR="003C40D1" w:rsidRDefault="00F441BC" w:rsidP="00901E6F">
            <w:pPr>
              <w:ind w:left="425" w:hanging="360"/>
            </w:pPr>
            <w:r>
              <w:rPr>
                <w:rFonts w:ascii="Arial" w:eastAsia="Arial" w:hAnsi="Arial" w:cs="Arial"/>
              </w:rPr>
              <w:t xml:space="preserve">3. Mechanizm translacji genów – etapy, enzymy. </w:t>
            </w:r>
            <w:proofErr w:type="spellStart"/>
            <w:r>
              <w:rPr>
                <w:rFonts w:ascii="Arial" w:eastAsia="Arial" w:hAnsi="Arial" w:cs="Arial"/>
              </w:rPr>
              <w:t>Potranslacyjne</w:t>
            </w:r>
            <w:proofErr w:type="spellEnd"/>
            <w:r>
              <w:rPr>
                <w:rFonts w:ascii="Arial" w:eastAsia="Arial" w:hAnsi="Arial" w:cs="Arial"/>
              </w:rPr>
              <w:t xml:space="preserve"> modyfikacje białek.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B999" w14:textId="77777777" w:rsidR="003C40D1" w:rsidRPr="00901E6F" w:rsidRDefault="00F441BC" w:rsidP="00901E6F">
            <w:pPr>
              <w:spacing w:line="304" w:lineRule="auto"/>
              <w:ind w:left="65" w:right="53" w:hanging="65"/>
              <w:rPr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 xml:space="preserve">„Podstawy genetyki dla studentów i lekarzy”, red. G. Drewa i T. Ferenc; Urban &amp; Partner, Wrocław, 2007; podrozdziały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4.2.2- 4.4.6 </w:t>
            </w:r>
            <w:r>
              <w:rPr>
                <w:rFonts w:ascii="Arial" w:eastAsia="Arial" w:hAnsi="Arial" w:cs="Arial"/>
                <w:sz w:val="20"/>
              </w:rPr>
              <w:t>lub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odpowiednie rozdziały z Drewa G., Ferenc T. 2011, „Genetyka medyczna – podręcznik dla studentów”; wyd.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Elsevier Urban &amp; </w:t>
            </w:r>
          </w:p>
          <w:p w14:paraId="4F8CD8FB" w14:textId="1F421C1E" w:rsidR="003C40D1" w:rsidRPr="00901E6F" w:rsidRDefault="00F441BC" w:rsidP="00901E6F">
            <w:pPr>
              <w:ind w:right="57" w:firstLine="65"/>
              <w:rPr>
                <w:lang w:val="en-GB"/>
              </w:rPr>
            </w:pP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Partner, 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Wrocław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>, (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dostęp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 on-line, Bibl. UWM/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elibrary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>:</w:t>
            </w:r>
            <w:r w:rsidR="001052DC" w:rsidRPr="001052DC">
              <w:rPr>
                <w:lang w:val="en-GB"/>
              </w:rPr>
              <w:t xml:space="preserve"> </w:t>
            </w:r>
            <w:r w:rsidR="001052DC" w:rsidRPr="001052DC">
              <w:rPr>
                <w:rFonts w:ascii="Arial" w:eastAsia="Arial" w:hAnsi="Arial" w:cs="Arial"/>
                <w:sz w:val="20"/>
                <w:lang w:val="en-GB"/>
              </w:rPr>
              <w:t>https://www-1elibrary-1com-1pl-193zlw47q00e6.han.uwm.edu.pl/bookshelf</w:t>
            </w:r>
            <w:r w:rsidR="001052DC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) – 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Translacja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</w:p>
        </w:tc>
      </w:tr>
      <w:tr w:rsidR="003C40D1" w14:paraId="487465CF" w14:textId="77777777">
        <w:trPr>
          <w:trHeight w:val="1973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D364" w14:textId="77777777" w:rsidR="003C40D1" w:rsidRDefault="00F441BC" w:rsidP="00901E6F">
            <w:pPr>
              <w:ind w:left="425" w:right="106" w:hanging="360"/>
            </w:pPr>
            <w:r>
              <w:rPr>
                <w:rFonts w:ascii="Arial" w:eastAsia="Arial" w:hAnsi="Arial" w:cs="Arial"/>
              </w:rPr>
              <w:t xml:space="preserve">4. Budowa poszczególnych rodzajów RNA (mRNA, </w:t>
            </w:r>
            <w:proofErr w:type="spellStart"/>
            <w:r>
              <w:rPr>
                <w:rFonts w:ascii="Arial" w:eastAsia="Arial" w:hAnsi="Arial" w:cs="Arial"/>
              </w:rPr>
              <w:t>tRNA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rRNA</w:t>
            </w:r>
            <w:proofErr w:type="spellEnd"/>
            <w:r>
              <w:rPr>
                <w:rFonts w:ascii="Arial" w:eastAsia="Arial" w:hAnsi="Arial" w:cs="Arial"/>
              </w:rPr>
              <w:t xml:space="preserve">) i ich rola w translacji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59CE" w14:textId="77777777" w:rsidR="003C40D1" w:rsidRPr="00901E6F" w:rsidRDefault="00F441BC" w:rsidP="00901E6F">
            <w:pPr>
              <w:spacing w:after="3" w:line="294" w:lineRule="auto"/>
              <w:ind w:left="65" w:right="56" w:hanging="65"/>
              <w:rPr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 xml:space="preserve">Podstawy genetyki dla studentów i lekarzy”, red. G. Drewa i T. Ferenc; Urban &amp; Partner, Wrocław, 2007; cały rozdział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4.4.1 </w:t>
            </w:r>
            <w:r>
              <w:rPr>
                <w:rFonts w:ascii="Arial" w:eastAsia="Arial" w:hAnsi="Arial" w:cs="Arial"/>
                <w:sz w:val="20"/>
              </w:rPr>
              <w:t>lub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odpowiednie rozdziały z Drewa G., Ferenc T. 2011, „Genetyka medyczna – podręcznik dla studentów”; wyd.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Elsevier Urban &amp; </w:t>
            </w:r>
          </w:p>
          <w:p w14:paraId="704FE955" w14:textId="6D89A11F" w:rsidR="003C40D1" w:rsidRPr="00901E6F" w:rsidRDefault="00F441BC" w:rsidP="00901E6F">
            <w:pPr>
              <w:spacing w:after="14" w:line="286" w:lineRule="auto"/>
              <w:ind w:left="65"/>
              <w:rPr>
                <w:lang w:val="en-GB"/>
              </w:rPr>
            </w:pP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Partner,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Wrocław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>(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dostęp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 xml:space="preserve">on-line,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 xml:space="preserve">Bibl.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>UWM/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elibrary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>:</w:t>
            </w:r>
            <w:r w:rsidR="001052DC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="001052DC" w:rsidRPr="001052DC">
              <w:rPr>
                <w:rFonts w:ascii="Arial" w:eastAsia="Arial" w:hAnsi="Arial" w:cs="Arial"/>
                <w:sz w:val="20"/>
                <w:lang w:val="en-GB"/>
              </w:rPr>
              <w:t>https://www-1elibrary-1com-1pl-193zlw47q00e6.han.uwm.edu.pl/bookshelf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) </w:t>
            </w:r>
          </w:p>
          <w:p w14:paraId="44B7563E" w14:textId="77777777" w:rsidR="003C40D1" w:rsidRDefault="00F441BC" w:rsidP="00901E6F">
            <w:r>
              <w:rPr>
                <w:rFonts w:ascii="Arial" w:eastAsia="Arial" w:hAnsi="Arial" w:cs="Arial"/>
                <w:b/>
                <w:sz w:val="20"/>
              </w:rPr>
              <w:t xml:space="preserve">– </w:t>
            </w:r>
            <w:r>
              <w:rPr>
                <w:rFonts w:ascii="Arial" w:eastAsia="Arial" w:hAnsi="Arial" w:cs="Arial"/>
                <w:sz w:val="20"/>
              </w:rPr>
              <w:t xml:space="preserve">Rola poszczególnych  rodzajów RNA w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transkacji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C40D1" w14:paraId="2327BA6F" w14:textId="77777777">
        <w:trPr>
          <w:trHeight w:val="1988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9582" w14:textId="77777777" w:rsidR="003C40D1" w:rsidRDefault="00F441BC" w:rsidP="00901E6F">
            <w:pPr>
              <w:spacing w:line="257" w:lineRule="auto"/>
              <w:ind w:left="425" w:hanging="360"/>
            </w:pPr>
            <w:r>
              <w:rPr>
                <w:rFonts w:ascii="Arial" w:eastAsia="Arial" w:hAnsi="Arial" w:cs="Arial"/>
              </w:rPr>
              <w:t xml:space="preserve">5. Regulacja ekspresji genów u </w:t>
            </w:r>
            <w:proofErr w:type="spellStart"/>
            <w:r>
              <w:rPr>
                <w:rFonts w:ascii="Arial" w:eastAsia="Arial" w:hAnsi="Arial" w:cs="Arial"/>
                <w:i/>
              </w:rPr>
              <w:t>Prokaryota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2ADE77DE" w14:textId="77777777" w:rsidR="003C40D1" w:rsidRDefault="00F441BC" w:rsidP="00901E6F">
            <w:pPr>
              <w:ind w:left="425"/>
            </w:pPr>
            <w:r>
              <w:rPr>
                <w:rFonts w:ascii="Arial" w:eastAsia="Arial" w:hAnsi="Arial" w:cs="Arial"/>
              </w:rPr>
              <w:t xml:space="preserve">(pojęcie i budowa operonu, przykłady operonów u </w:t>
            </w:r>
            <w:r>
              <w:rPr>
                <w:rFonts w:ascii="Arial" w:eastAsia="Arial" w:hAnsi="Arial" w:cs="Arial"/>
                <w:i/>
              </w:rPr>
              <w:t>E. coli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38BF" w14:textId="77777777" w:rsidR="003C40D1" w:rsidRPr="00901E6F" w:rsidRDefault="00F441BC" w:rsidP="00901E6F">
            <w:pPr>
              <w:spacing w:line="303" w:lineRule="auto"/>
              <w:ind w:left="65" w:right="56" w:hanging="65"/>
              <w:rPr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 xml:space="preserve">„Podstawy genetyki dla studentów i lekarzy”, red. G. Drewa i T. Ferenc; Urban &amp; Partner, Wrocław, 2007; rozdział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5.1 (5.1.1- 5.1.4) </w:t>
            </w:r>
            <w:r>
              <w:rPr>
                <w:rFonts w:ascii="Arial" w:eastAsia="Arial" w:hAnsi="Arial" w:cs="Arial"/>
                <w:sz w:val="20"/>
              </w:rPr>
              <w:t xml:space="preserve">lub odpowiednie rozdziały z Drewa G., Ferenc T. 2011, „Genetyka medyczna – podręcznik dla studentów”; wyd.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Elsevier Urban &amp; </w:t>
            </w:r>
          </w:p>
          <w:p w14:paraId="7DF2BA98" w14:textId="22E4CF15" w:rsidR="003C40D1" w:rsidRPr="00901E6F" w:rsidRDefault="00F441BC" w:rsidP="00901E6F">
            <w:pPr>
              <w:spacing w:after="22" w:line="283" w:lineRule="auto"/>
              <w:ind w:left="65"/>
              <w:rPr>
                <w:lang w:val="en-GB"/>
              </w:rPr>
            </w:pP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Partner,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Wrocław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>(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dostęp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 xml:space="preserve">on-line,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 xml:space="preserve">Bibl.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>UWM/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elibrary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>:</w:t>
            </w:r>
            <w:r w:rsidR="001052DC" w:rsidRPr="001052DC">
              <w:rPr>
                <w:lang w:val="en-GB"/>
              </w:rPr>
              <w:t xml:space="preserve"> </w:t>
            </w:r>
            <w:r w:rsidR="001052DC" w:rsidRPr="001052DC">
              <w:rPr>
                <w:rFonts w:ascii="Arial" w:eastAsia="Arial" w:hAnsi="Arial" w:cs="Arial"/>
                <w:sz w:val="20"/>
                <w:lang w:val="en-GB"/>
              </w:rPr>
              <w:t>https://www-1elibrary-1com-1pl-193zlw47q00e6.han.uwm.edu.pl/bookshelf</w:t>
            </w:r>
            <w:r w:rsidR="001052DC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) </w:t>
            </w:r>
          </w:p>
          <w:p w14:paraId="63ED56CC" w14:textId="77777777" w:rsidR="003C40D1" w:rsidRDefault="00F441BC" w:rsidP="00901E6F">
            <w:r>
              <w:rPr>
                <w:rFonts w:ascii="Arial" w:eastAsia="Arial" w:hAnsi="Arial" w:cs="Arial"/>
                <w:sz w:val="20"/>
              </w:rPr>
              <w:t xml:space="preserve">– Regulacja ekspresji genów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Prokaryota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C40D1" w14:paraId="77EE3E62" w14:textId="77777777">
        <w:trPr>
          <w:trHeight w:val="1988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047F" w14:textId="77777777" w:rsidR="003C40D1" w:rsidRDefault="00F441BC">
            <w:pPr>
              <w:ind w:left="425" w:right="327" w:hanging="360"/>
              <w:jc w:val="both"/>
            </w:pPr>
            <w:r>
              <w:rPr>
                <w:rFonts w:ascii="Arial" w:eastAsia="Arial" w:hAnsi="Arial" w:cs="Arial"/>
              </w:rPr>
              <w:lastRenderedPageBreak/>
              <w:t xml:space="preserve">6. Regulacja ekspresji genów u </w:t>
            </w:r>
            <w:proofErr w:type="spellStart"/>
            <w:r>
              <w:rPr>
                <w:rFonts w:ascii="Arial" w:eastAsia="Arial" w:hAnsi="Arial" w:cs="Arial"/>
                <w:i/>
              </w:rPr>
              <w:t>Eukaryota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(poziom matrycy DNA, poziom transkrypcji, regulacja </w:t>
            </w:r>
            <w:proofErr w:type="spellStart"/>
            <w:r>
              <w:rPr>
                <w:rFonts w:ascii="Arial" w:eastAsia="Arial" w:hAnsi="Arial" w:cs="Arial"/>
              </w:rPr>
              <w:t>potranskrypcyjna</w:t>
            </w:r>
            <w:proofErr w:type="spellEnd"/>
            <w:r>
              <w:rPr>
                <w:rFonts w:ascii="Arial" w:eastAsia="Arial" w:hAnsi="Arial" w:cs="Arial"/>
              </w:rPr>
              <w:t xml:space="preserve">, poziom translacji) 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39E" w14:textId="77777777" w:rsidR="003C40D1" w:rsidRPr="00901E6F" w:rsidRDefault="00F441BC">
            <w:pPr>
              <w:spacing w:line="305" w:lineRule="auto"/>
              <w:ind w:left="65" w:right="56" w:hanging="65"/>
              <w:jc w:val="both"/>
              <w:rPr>
                <w:lang w:val="en-GB"/>
              </w:rPr>
            </w:pPr>
            <w:r>
              <w:rPr>
                <w:rFonts w:ascii="Arial" w:eastAsia="Arial" w:hAnsi="Arial" w:cs="Arial"/>
                <w:sz w:val="20"/>
              </w:rPr>
              <w:t xml:space="preserve">„Podstawy genetyki dla studentów i lekarzy”, red. G. Drewa i T. Ferenc; Urban &amp; Partner, Wrocław, 2007; rozdział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5.2 (5.2.1- 5.2.4) </w:t>
            </w:r>
            <w:r>
              <w:rPr>
                <w:rFonts w:ascii="Arial" w:eastAsia="Arial" w:hAnsi="Arial" w:cs="Arial"/>
                <w:sz w:val="20"/>
              </w:rPr>
              <w:t>lub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odpowiednie rozdziały z Drewa G., Ferenc T. 2011, „Genetyka medyczna – podręcznik dla studentów”; wyd.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Elsevier Urban &amp; </w:t>
            </w:r>
          </w:p>
          <w:p w14:paraId="4F9751F4" w14:textId="77777777" w:rsidR="003C40D1" w:rsidRPr="00901E6F" w:rsidRDefault="00F441BC">
            <w:pPr>
              <w:spacing w:after="23" w:line="283" w:lineRule="auto"/>
              <w:ind w:left="65"/>
              <w:rPr>
                <w:lang w:val="en-GB"/>
              </w:rPr>
            </w:pPr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Partner,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Wrocław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>(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dostęp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 xml:space="preserve">on-line,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 xml:space="preserve">Bibl. </w:t>
            </w:r>
            <w:r w:rsidRPr="00901E6F">
              <w:rPr>
                <w:rFonts w:ascii="Arial" w:eastAsia="Arial" w:hAnsi="Arial" w:cs="Arial"/>
                <w:sz w:val="20"/>
                <w:lang w:val="en-GB"/>
              </w:rPr>
              <w:tab/>
              <w:t>UWM/</w:t>
            </w:r>
            <w:proofErr w:type="spellStart"/>
            <w:r w:rsidRPr="00901E6F">
              <w:rPr>
                <w:rFonts w:ascii="Arial" w:eastAsia="Arial" w:hAnsi="Arial" w:cs="Arial"/>
                <w:sz w:val="20"/>
                <w:lang w:val="en-GB"/>
              </w:rPr>
              <w:t>elibrary</w:t>
            </w:r>
            <w:proofErr w:type="spellEnd"/>
            <w:r w:rsidRPr="00901E6F">
              <w:rPr>
                <w:rFonts w:ascii="Arial" w:eastAsia="Arial" w:hAnsi="Arial" w:cs="Arial"/>
                <w:sz w:val="20"/>
                <w:lang w:val="en-GB"/>
              </w:rPr>
              <w:t xml:space="preserve">: https://www.elibrary.com.pl/bookshelf) </w:t>
            </w:r>
          </w:p>
          <w:p w14:paraId="7B2FE843" w14:textId="77777777" w:rsidR="003C40D1" w:rsidRDefault="00F441BC">
            <w:r>
              <w:rPr>
                <w:rFonts w:ascii="Arial" w:eastAsia="Arial" w:hAnsi="Arial" w:cs="Arial"/>
                <w:sz w:val="20"/>
              </w:rPr>
              <w:t xml:space="preserve">– Mechanizm regulacja ekspresji genów u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Eukaryota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9DC331C" w14:textId="77777777" w:rsidR="003C40D1" w:rsidRDefault="00F441B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sectPr w:rsidR="003C40D1">
      <w:pgSz w:w="11906" w:h="16838"/>
      <w:pgMar w:top="1440" w:right="253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D1"/>
    <w:rsid w:val="001052DC"/>
    <w:rsid w:val="003C40D1"/>
    <w:rsid w:val="00901E6F"/>
    <w:rsid w:val="00EA1CA9"/>
    <w:rsid w:val="00F4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DD6C"/>
  <w15:docId w15:val="{8C17A8EE-FDC0-4D4C-B717-606D9BD9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cp:lastModifiedBy>Katarzyna</cp:lastModifiedBy>
  <cp:revision>4</cp:revision>
  <dcterms:created xsi:type="dcterms:W3CDTF">2021-09-27T11:36:00Z</dcterms:created>
  <dcterms:modified xsi:type="dcterms:W3CDTF">2021-09-28T07:42:00Z</dcterms:modified>
</cp:coreProperties>
</file>